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57B89B55"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02BF12E" w14:textId="57C83855" w:rsidR="003E1B98" w:rsidRPr="00F14452" w:rsidRDefault="003E1B98" w:rsidP="00F14452">
      <w:pPr>
        <w:jc w:val="both"/>
        <w:rPr>
          <w:rFonts w:ascii="Times New Roman" w:hAnsi="Times New Roman" w:cs="Times New Roman"/>
          <w:sz w:val="24"/>
          <w:szCs w:val="24"/>
        </w:rPr>
      </w:pPr>
      <w:r w:rsidRPr="003E1B98">
        <w:rPr>
          <w:rFonts w:ascii="Times New Roman" w:hAnsi="Times New Roman" w:cs="Times New Roman"/>
          <w:sz w:val="24"/>
          <w:szCs w:val="24"/>
        </w:rPr>
        <w:t xml:space="preserve">6) информация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w:t>
      </w:r>
      <w:r w:rsidRPr="003E1B98">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06888126" w14:textId="51FB66D0" w:rsidR="005E6951" w:rsidRDefault="008B5DC5" w:rsidP="00D61D01">
      <w:pPr>
        <w:spacing w:after="0"/>
        <w:jc w:val="both"/>
        <w:rPr>
          <w:rFonts w:ascii="Times New Roman" w:hAnsi="Times New Roman" w:cs="Times New Roman"/>
          <w:sz w:val="24"/>
          <w:szCs w:val="24"/>
        </w:rPr>
      </w:pPr>
      <w:r w:rsidRPr="00940B49">
        <w:rPr>
          <w:rFonts w:ascii="Times New Roman" w:hAnsi="Times New Roman" w:cs="Times New Roman"/>
          <w:sz w:val="24"/>
          <w:szCs w:val="24"/>
        </w:rPr>
        <w:t>б-1)</w:t>
      </w:r>
      <w:r w:rsidR="007958A7">
        <w:rPr>
          <w:rFonts w:ascii="Times New Roman" w:hAnsi="Times New Roman" w:cs="Times New Roman"/>
          <w:sz w:val="24"/>
          <w:szCs w:val="24"/>
        </w:rPr>
        <w:t xml:space="preserve"> </w:t>
      </w:r>
      <w:r w:rsidR="00D61D01" w:rsidRPr="00D61D01">
        <w:rPr>
          <w:rFonts w:ascii="Times New Roman" w:hAnsi="Times New Roman" w:cs="Times New Roman"/>
          <w:sz w:val="24"/>
          <w:szCs w:val="24"/>
        </w:rPr>
        <w:t>сертификат соответствия; заполненная таблица с информацией в части требований технического задания согласно приложению №1; все заявленные Претендентом технические параметры и характеристики товара должны быть подтверждены с предоставлением протокола испытаний, письма от производителя, гарантирующего обеспечение заявленных технических характеристик предлагаемого товара, либо должен быть предоставлен документ, удостоверяющий что компания является официальным представителем производителя с правом реализации товара;</w:t>
      </w:r>
    </w:p>
    <w:p w14:paraId="34A423BD" w14:textId="77777777" w:rsidR="00D61D01" w:rsidRDefault="00D61D01" w:rsidP="00D61D01">
      <w:pPr>
        <w:spacing w:after="0"/>
        <w:jc w:val="both"/>
        <w:rPr>
          <w:rFonts w:ascii="Times New Roman" w:hAnsi="Times New Roman" w:cs="Times New Roman"/>
          <w:sz w:val="24"/>
          <w:szCs w:val="24"/>
        </w:rPr>
      </w:pPr>
    </w:p>
    <w:p w14:paraId="30F4893B" w14:textId="27B03138"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117051BF"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1CFCB766" w14:textId="0C64104B" w:rsidR="003E1B98" w:rsidRPr="00F14452" w:rsidRDefault="003E1B98" w:rsidP="00F14452">
      <w:pPr>
        <w:jc w:val="both"/>
        <w:rPr>
          <w:rFonts w:ascii="Times New Roman" w:hAnsi="Times New Roman" w:cs="Times New Roman"/>
          <w:sz w:val="24"/>
          <w:szCs w:val="24"/>
        </w:rPr>
      </w:pPr>
      <w:r w:rsidRPr="003E1B98">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участников из ПМР в рублях ПМР</w:t>
      </w:r>
    </w:p>
    <w:p w14:paraId="2CDC266B"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иных участников - руб. РФ, лей РМ</w:t>
      </w:r>
    </w:p>
    <w:p w14:paraId="723A610E" w14:textId="14BAA7A6" w:rsidR="006A5EF0" w:rsidRPr="00547E7B"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lastRenderedPageBreak/>
        <w:t>При получении заявок со стоимостью предмета закупки в руб. РФ, лей РМ данная стоимость подлежит переводу в рубли ПМР по официальному курсу ПРБ на день рассмотрения заявок.</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7"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w:t>
      </w:r>
      <w:r w:rsidRPr="00F14452">
        <w:rPr>
          <w:rFonts w:ascii="Times New Roman" w:hAnsi="Times New Roman" w:cs="Times New Roman"/>
          <w:sz w:val="24"/>
          <w:szCs w:val="24"/>
        </w:rPr>
        <w:lastRenderedPageBreak/>
        <w:t>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6B3BCF1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D61D01">
        <w:rPr>
          <w:rFonts w:ascii="Times New Roman" w:hAnsi="Times New Roman" w:cs="Times New Roman"/>
          <w:sz w:val="24"/>
          <w:szCs w:val="24"/>
        </w:rPr>
        <w:t>22</w:t>
      </w:r>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D61D01">
        <w:rPr>
          <w:rFonts w:ascii="Times New Roman" w:hAnsi="Times New Roman" w:cs="Times New Roman"/>
          <w:sz w:val="24"/>
          <w:szCs w:val="24"/>
        </w:rPr>
        <w:t>7</w:t>
      </w:r>
      <w:r w:rsidRPr="006A5EF0">
        <w:rPr>
          <w:rFonts w:ascii="Times New Roman" w:hAnsi="Times New Roman" w:cs="Times New Roman"/>
          <w:sz w:val="24"/>
          <w:szCs w:val="24"/>
        </w:rPr>
        <w:t>.202</w:t>
      </w:r>
      <w:r w:rsidR="003E1B98">
        <w:rPr>
          <w:rFonts w:ascii="Times New Roman" w:hAnsi="Times New Roman" w:cs="Times New Roman"/>
          <w:sz w:val="24"/>
          <w:szCs w:val="24"/>
        </w:rPr>
        <w:t>5</w:t>
      </w:r>
      <w:r w:rsidRPr="006A5EF0">
        <w:rPr>
          <w:rFonts w:ascii="Times New Roman" w:hAnsi="Times New Roman" w:cs="Times New Roman"/>
          <w:sz w:val="24"/>
          <w:szCs w:val="24"/>
        </w:rPr>
        <w:t xml:space="preserve"> г. в 1</w:t>
      </w:r>
      <w:r w:rsidR="00D61D01">
        <w:rPr>
          <w:rFonts w:ascii="Times New Roman" w:hAnsi="Times New Roman" w:cs="Times New Roman"/>
          <w:sz w:val="24"/>
          <w:szCs w:val="24"/>
        </w:rPr>
        <w:t>0</w:t>
      </w:r>
      <w:r w:rsidRPr="006A5EF0">
        <w:rPr>
          <w:rFonts w:ascii="Times New Roman" w:hAnsi="Times New Roman" w:cs="Times New Roman"/>
          <w:sz w:val="24"/>
          <w:szCs w:val="24"/>
        </w:rPr>
        <w:t>-00</w:t>
      </w:r>
    </w:p>
    <w:p w14:paraId="58E76240" w14:textId="7777777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Дата окончания срока предоставления участникам аукциона разъяснений положений</w:t>
      </w:r>
    </w:p>
    <w:p w14:paraId="3FB10E29" w14:textId="346ED150" w:rsidR="00F14452" w:rsidRPr="00F14452"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w:t>
      </w:r>
      <w:r w:rsidRPr="00554DE7">
        <w:rPr>
          <w:rFonts w:ascii="Times New Roman" w:hAnsi="Times New Roman" w:cs="Times New Roman"/>
          <w:sz w:val="24"/>
          <w:szCs w:val="24"/>
        </w:rPr>
        <w:t xml:space="preserve">аукционе </w:t>
      </w:r>
      <w:r w:rsidR="00D61D01">
        <w:rPr>
          <w:rFonts w:ascii="Times New Roman" w:hAnsi="Times New Roman" w:cs="Times New Roman"/>
          <w:sz w:val="24"/>
          <w:szCs w:val="24"/>
        </w:rPr>
        <w:t>31</w:t>
      </w:r>
      <w:r w:rsidRPr="00554DE7">
        <w:rPr>
          <w:rFonts w:ascii="Times New Roman" w:hAnsi="Times New Roman" w:cs="Times New Roman"/>
          <w:sz w:val="24"/>
          <w:szCs w:val="24"/>
        </w:rPr>
        <w:t>.</w:t>
      </w:r>
      <w:r w:rsidR="001D54F2" w:rsidRPr="00554DE7">
        <w:rPr>
          <w:rFonts w:ascii="Times New Roman" w:hAnsi="Times New Roman" w:cs="Times New Roman"/>
          <w:sz w:val="24"/>
          <w:szCs w:val="24"/>
        </w:rPr>
        <w:t>0</w:t>
      </w:r>
      <w:r w:rsidR="00D61D01">
        <w:rPr>
          <w:rFonts w:ascii="Times New Roman" w:hAnsi="Times New Roman" w:cs="Times New Roman"/>
          <w:sz w:val="24"/>
          <w:szCs w:val="24"/>
        </w:rPr>
        <w:t>7</w:t>
      </w:r>
      <w:r w:rsidRPr="00554DE7">
        <w:rPr>
          <w:rFonts w:ascii="Times New Roman" w:hAnsi="Times New Roman" w:cs="Times New Roman"/>
          <w:sz w:val="24"/>
          <w:szCs w:val="24"/>
        </w:rPr>
        <w:t>.202</w:t>
      </w:r>
      <w:r w:rsidR="003E1B98">
        <w:rPr>
          <w:rFonts w:ascii="Times New Roman" w:hAnsi="Times New Roman" w:cs="Times New Roman"/>
          <w:sz w:val="24"/>
          <w:szCs w:val="24"/>
        </w:rPr>
        <w:t>5</w:t>
      </w:r>
      <w:r w:rsidRPr="00554DE7">
        <w:rPr>
          <w:rFonts w:ascii="Times New Roman" w:hAnsi="Times New Roman" w:cs="Times New Roman"/>
          <w:sz w:val="24"/>
          <w:szCs w:val="24"/>
        </w:rPr>
        <w:t xml:space="preserve"> г. в 1</w:t>
      </w:r>
      <w:r w:rsidR="00D61D01">
        <w:rPr>
          <w:rFonts w:ascii="Times New Roman" w:hAnsi="Times New Roman" w:cs="Times New Roman"/>
          <w:sz w:val="24"/>
          <w:szCs w:val="24"/>
        </w:rPr>
        <w:t>0</w:t>
      </w:r>
      <w:bookmarkStart w:id="0" w:name="_GoBack"/>
      <w:bookmarkEnd w:id="0"/>
      <w:r w:rsidRPr="00554DE7">
        <w:rPr>
          <w:rFonts w:ascii="Times New Roman" w:hAnsi="Times New Roman" w:cs="Times New Roman"/>
          <w:sz w:val="24"/>
          <w:szCs w:val="24"/>
        </w:rPr>
        <w:t>-00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8"/>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63"/>
    <w:rsid w:val="00005E08"/>
    <w:rsid w:val="000317FB"/>
    <w:rsid w:val="0005467C"/>
    <w:rsid w:val="00057BAD"/>
    <w:rsid w:val="0009174F"/>
    <w:rsid w:val="00094521"/>
    <w:rsid w:val="0009573D"/>
    <w:rsid w:val="000B741A"/>
    <w:rsid w:val="000C2AAE"/>
    <w:rsid w:val="000D157D"/>
    <w:rsid w:val="00111A65"/>
    <w:rsid w:val="00116673"/>
    <w:rsid w:val="00117839"/>
    <w:rsid w:val="00136749"/>
    <w:rsid w:val="001605E3"/>
    <w:rsid w:val="001647EB"/>
    <w:rsid w:val="00190291"/>
    <w:rsid w:val="001C2894"/>
    <w:rsid w:val="001C6792"/>
    <w:rsid w:val="001D54F2"/>
    <w:rsid w:val="002417CB"/>
    <w:rsid w:val="0024260A"/>
    <w:rsid w:val="00247B67"/>
    <w:rsid w:val="00274EF7"/>
    <w:rsid w:val="002A3073"/>
    <w:rsid w:val="002B56BD"/>
    <w:rsid w:val="002D2468"/>
    <w:rsid w:val="002D314E"/>
    <w:rsid w:val="002D4825"/>
    <w:rsid w:val="002D5A10"/>
    <w:rsid w:val="00302CF1"/>
    <w:rsid w:val="00310372"/>
    <w:rsid w:val="00351995"/>
    <w:rsid w:val="00356823"/>
    <w:rsid w:val="003644C7"/>
    <w:rsid w:val="003D1D5C"/>
    <w:rsid w:val="003E1B98"/>
    <w:rsid w:val="00403CD7"/>
    <w:rsid w:val="00422939"/>
    <w:rsid w:val="00422CCB"/>
    <w:rsid w:val="00441A4E"/>
    <w:rsid w:val="0044751D"/>
    <w:rsid w:val="00451292"/>
    <w:rsid w:val="00455130"/>
    <w:rsid w:val="004652AA"/>
    <w:rsid w:val="00465E2C"/>
    <w:rsid w:val="00465E2D"/>
    <w:rsid w:val="0048446B"/>
    <w:rsid w:val="00496767"/>
    <w:rsid w:val="004B7CC4"/>
    <w:rsid w:val="004E6844"/>
    <w:rsid w:val="004F549E"/>
    <w:rsid w:val="00547E7B"/>
    <w:rsid w:val="00554DE7"/>
    <w:rsid w:val="00555D0B"/>
    <w:rsid w:val="00590BFB"/>
    <w:rsid w:val="005B1B96"/>
    <w:rsid w:val="005D5968"/>
    <w:rsid w:val="005E6951"/>
    <w:rsid w:val="00610D2B"/>
    <w:rsid w:val="00611096"/>
    <w:rsid w:val="006127DB"/>
    <w:rsid w:val="00687C88"/>
    <w:rsid w:val="00690187"/>
    <w:rsid w:val="006A5EF0"/>
    <w:rsid w:val="006D0855"/>
    <w:rsid w:val="00713D9E"/>
    <w:rsid w:val="007549CC"/>
    <w:rsid w:val="0077060D"/>
    <w:rsid w:val="00772AF2"/>
    <w:rsid w:val="007958A7"/>
    <w:rsid w:val="007A205C"/>
    <w:rsid w:val="007D6BEC"/>
    <w:rsid w:val="00811ABA"/>
    <w:rsid w:val="00867856"/>
    <w:rsid w:val="00893303"/>
    <w:rsid w:val="00893FCB"/>
    <w:rsid w:val="008A0545"/>
    <w:rsid w:val="008B50DA"/>
    <w:rsid w:val="008B5DC5"/>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026C6"/>
    <w:rsid w:val="00B13D03"/>
    <w:rsid w:val="00B51516"/>
    <w:rsid w:val="00B57906"/>
    <w:rsid w:val="00B618F5"/>
    <w:rsid w:val="00B62AE1"/>
    <w:rsid w:val="00B7016C"/>
    <w:rsid w:val="00B75488"/>
    <w:rsid w:val="00BA1ACB"/>
    <w:rsid w:val="00BC265C"/>
    <w:rsid w:val="00BC3F12"/>
    <w:rsid w:val="00BD6BE0"/>
    <w:rsid w:val="00C04C25"/>
    <w:rsid w:val="00C147FC"/>
    <w:rsid w:val="00C30DFA"/>
    <w:rsid w:val="00C330AF"/>
    <w:rsid w:val="00C330B7"/>
    <w:rsid w:val="00C51560"/>
    <w:rsid w:val="00CB18FD"/>
    <w:rsid w:val="00CC375E"/>
    <w:rsid w:val="00CE2E99"/>
    <w:rsid w:val="00CF61AD"/>
    <w:rsid w:val="00D02462"/>
    <w:rsid w:val="00D043EC"/>
    <w:rsid w:val="00D22E6D"/>
    <w:rsid w:val="00D27A28"/>
    <w:rsid w:val="00D55237"/>
    <w:rsid w:val="00D61D01"/>
    <w:rsid w:val="00D673C9"/>
    <w:rsid w:val="00D81188"/>
    <w:rsid w:val="00D94863"/>
    <w:rsid w:val="00DA53C4"/>
    <w:rsid w:val="00DB31F4"/>
    <w:rsid w:val="00DF0D1B"/>
    <w:rsid w:val="00E13DCE"/>
    <w:rsid w:val="00E25F9B"/>
    <w:rsid w:val="00EA02C6"/>
    <w:rsid w:val="00EA359C"/>
    <w:rsid w:val="00EC0208"/>
    <w:rsid w:val="00EC6FB7"/>
    <w:rsid w:val="00EE7E59"/>
    <w:rsid w:val="00EF3D58"/>
    <w:rsid w:val="00EF67FF"/>
    <w:rsid w:val="00F14452"/>
    <w:rsid w:val="00F86B70"/>
    <w:rsid w:val="00FB1D03"/>
    <w:rsid w:val="00FB43F3"/>
    <w:rsid w:val="00FD6CB1"/>
    <w:rsid w:val="00FE5923"/>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4</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80</cp:revision>
  <cp:lastPrinted>2022-02-07T13:47:00Z</cp:lastPrinted>
  <dcterms:created xsi:type="dcterms:W3CDTF">2021-02-19T09:30:00Z</dcterms:created>
  <dcterms:modified xsi:type="dcterms:W3CDTF">2025-07-18T07:43:00Z</dcterms:modified>
</cp:coreProperties>
</file>